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21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383"/>
        <w:gridCol w:w="4758"/>
        <w:gridCol w:w="3071"/>
      </w:tblGrid>
      <w:tr>
        <w:tblPrEx>
          <w:shd w:val="clear" w:color="auto" w:fill="d0ddef"/>
        </w:tblPrEx>
        <w:trPr>
          <w:trHeight w:val="240" w:hRule="atLeast"/>
        </w:trPr>
        <w:tc>
          <w:tcPr>
            <w:tcW w:type="dxa" w:w="13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de-DE"/>
              </w:rPr>
              <w:t>FSR WiWi</w:t>
            </w:r>
          </w:p>
        </w:tc>
        <w:tc>
          <w:tcPr>
            <w:tcW w:type="dxa" w:w="47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de-DE"/>
              </w:rPr>
              <w:t>hochschul</w:t>
            </w:r>
            <w:r>
              <w:rPr>
                <w:b w:val="1"/>
                <w:bCs w:val="1"/>
                <w:rtl w:val="0"/>
                <w:lang w:val="de-DE"/>
              </w:rPr>
              <w:t>ö</w:t>
            </w:r>
            <w:r>
              <w:rPr>
                <w:b w:val="1"/>
                <w:bCs w:val="1"/>
                <w:rtl w:val="0"/>
                <w:lang w:val="de-DE"/>
              </w:rPr>
              <w:t>ffentliche Sitzung</w:t>
            </w:r>
          </w:p>
        </w:tc>
        <w:tc>
          <w:tcPr>
            <w:tcW w:type="dxa" w:w="30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de-DE"/>
              </w:rPr>
              <w:t xml:space="preserve">Datum: 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de-DE"/>
              </w:rPr>
              <w:t>18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de-DE"/>
              </w:rPr>
              <w:t>.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de-DE"/>
              </w:rPr>
              <w:t>10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de-DE"/>
              </w:rPr>
              <w:t>.2017</w:t>
            </w:r>
          </w:p>
        </w:tc>
      </w:tr>
    </w:tbl>
    <w:p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>
      <w:pPr>
        <w:pStyle w:val="Normal.0"/>
      </w:pPr>
    </w:p>
    <w:tbl>
      <w:tblPr>
        <w:tblW w:w="928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288"/>
      </w:tblGrid>
      <w:tr>
        <w:tblPrEx>
          <w:shd w:val="clear" w:color="auto" w:fill="d0ddef"/>
        </w:tblPrEx>
        <w:trPr>
          <w:trHeight w:val="240" w:hRule="atLeast"/>
        </w:trPr>
        <w:tc>
          <w:tcPr>
            <w:tcW w:type="dxa" w:w="9288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de-DE"/>
              </w:rPr>
              <w:t>Anwesend:</w:t>
            </w:r>
          </w:p>
        </w:tc>
      </w:tr>
      <w:tr>
        <w:tblPrEx>
          <w:shd w:val="clear" w:color="auto" w:fill="d0ddef"/>
        </w:tblPrEx>
        <w:trPr>
          <w:trHeight w:val="3624" w:hRule="atLeast"/>
        </w:trPr>
        <w:tc>
          <w:tcPr>
            <w:tcW w:type="dxa" w:w="92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lang w:val="de-DE"/>
              </w:rPr>
            </w:pPr>
          </w:p>
          <w:p>
            <w:pPr>
              <w:pStyle w:val="Normal.0"/>
              <w:tabs>
                <w:tab w:val="left" w:pos="3969"/>
              </w:tabs>
              <w:spacing w:line="360" w:lineRule="auto"/>
              <w:jc w:val="both"/>
              <w:rPr>
                <w:lang w:val="de-DE"/>
              </w:rPr>
            </w:pPr>
            <w:r>
              <w:rPr>
                <w:rtl w:val="0"/>
                <w:lang w:val="de-DE"/>
              </w:rPr>
              <w:t>FSR-Mitglieder</w:t>
              <w:tab/>
            </w:r>
          </w:p>
          <w:p>
            <w:pPr>
              <w:pStyle w:val="Normal.0"/>
              <w:tabs>
                <w:tab w:val="left" w:pos="3969"/>
              </w:tabs>
              <w:spacing w:line="360" w:lineRule="auto"/>
              <w:jc w:val="both"/>
              <w:rPr>
                <w:lang w:val="de-DE"/>
              </w:rPr>
            </w:pPr>
            <w:r>
              <w:rPr>
                <w:rtl w:val="0"/>
                <w:lang w:val="de-DE"/>
              </w:rPr>
              <w:t>Lorina Rehn</w:t>
            </w:r>
          </w:p>
          <w:p>
            <w:pPr>
              <w:pStyle w:val="Normal.0"/>
              <w:tabs>
                <w:tab w:val="left" w:pos="3969"/>
              </w:tabs>
              <w:spacing w:line="360" w:lineRule="auto"/>
              <w:jc w:val="both"/>
              <w:rPr/>
            </w:pPr>
            <w:r>
              <w:rPr>
                <w:rtl w:val="0"/>
                <w:lang w:val="de-DE"/>
              </w:rPr>
              <w:t>Jonas K</w:t>
            </w:r>
            <w:r>
              <w:rPr>
                <w:rtl w:val="0"/>
                <w:lang w:val="de-DE"/>
              </w:rPr>
              <w:t>ö</w:t>
            </w:r>
            <w:r>
              <w:rPr>
                <w:rtl w:val="0"/>
                <w:lang w:val="de-DE"/>
              </w:rPr>
              <w:t>ster</w:t>
            </w:r>
          </w:p>
          <w:p>
            <w:pPr>
              <w:pStyle w:val="Normal.0"/>
              <w:rPr>
                <w:lang w:val="de-DE"/>
              </w:rPr>
            </w:pPr>
            <w:r>
              <w:rPr>
                <w:rtl w:val="0"/>
                <w:lang w:val="de-DE"/>
              </w:rPr>
              <w:t>Veit Brunken</w:t>
            </w:r>
          </w:p>
          <w:p>
            <w:pPr>
              <w:pStyle w:val="Normal.0"/>
              <w:rPr>
                <w:lang w:val="de-DE"/>
              </w:rPr>
            </w:pPr>
            <w:r>
              <w:rPr>
                <w:rtl w:val="0"/>
                <w:lang w:val="de-DE"/>
              </w:rPr>
              <w:t>Vincent Weseloh</w:t>
            </w:r>
          </w:p>
          <w:p>
            <w:pPr>
              <w:pStyle w:val="Normal.0"/>
              <w:tabs>
                <w:tab w:val="left" w:pos="3969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de-DE"/>
              </w:rPr>
              <w:t>Der FSR ist beschlussf</w:t>
            </w:r>
            <w:r>
              <w:rPr>
                <w:rtl w:val="0"/>
                <w:lang w:val="de-DE"/>
              </w:rPr>
              <w:t>ä</w:t>
            </w:r>
            <w:r>
              <w:rPr>
                <w:rtl w:val="0"/>
                <w:lang w:val="de-DE"/>
              </w:rPr>
              <w:t>hig.</w:t>
            </w:r>
            <w:r>
              <w:rPr/>
            </w:r>
          </w:p>
        </w:tc>
      </w:tr>
      <w:tr>
        <w:tblPrEx>
          <w:shd w:val="clear" w:color="auto" w:fill="d0ddef"/>
        </w:tblPrEx>
        <w:trPr>
          <w:trHeight w:val="240" w:hRule="atLeast"/>
        </w:trPr>
        <w:tc>
          <w:tcPr>
            <w:tcW w:type="dxa" w:w="9288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de-DE"/>
              </w:rPr>
              <w:t>CC:</w:t>
            </w:r>
          </w:p>
        </w:tc>
      </w:tr>
      <w:tr>
        <w:tblPrEx>
          <w:shd w:val="clear" w:color="auto" w:fill="d0ddef"/>
        </w:tblPrEx>
        <w:trPr>
          <w:trHeight w:val="240" w:hRule="atLeast"/>
        </w:trPr>
        <w:tc>
          <w:tcPr>
            <w:tcW w:type="dxa" w:w="92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</w:pPr>
    </w:p>
    <w:p>
      <w:pPr>
        <w:pStyle w:val="Normal.0"/>
        <w:rPr>
          <w:rFonts w:ascii="Calibri" w:cs="Calibri" w:hAnsi="Calibri" w:eastAsia="Calibri"/>
          <w:b w:val="1"/>
          <w:bCs w:val="1"/>
        </w:rPr>
      </w:pPr>
      <w:r>
        <w:rPr>
          <w:rtl w:val="0"/>
        </w:rPr>
        <w:t>I=Information, F= Feststellung, B=Beschluss, T=To Do, A = Antr</w:t>
      </w:r>
      <w:r>
        <w:rPr>
          <w:rtl w:val="0"/>
        </w:rPr>
        <w:t>ä</w:t>
      </w:r>
      <w:r>
        <w:rPr>
          <w:rtl w:val="0"/>
        </w:rPr>
        <w:t>ge</w:t>
      </w:r>
    </w:p>
    <w:tbl>
      <w:tblPr>
        <w:tblW w:w="9056" w:type="dxa"/>
        <w:jc w:val="left"/>
        <w:tblInd w:w="11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964"/>
        <w:gridCol w:w="6092"/>
      </w:tblGrid>
      <w:tr>
        <w:tblPrEx>
          <w:shd w:val="clear" w:color="auto" w:fill="d0ddef"/>
        </w:tblPrEx>
        <w:trPr>
          <w:trHeight w:val="265" w:hRule="atLeast"/>
        </w:trPr>
        <w:tc>
          <w:tcPr>
            <w:tcW w:type="dxa" w:w="2964"/>
            <w:tcBorders>
              <w:top w:val="nil"/>
              <w:left w:val="nil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de-DE"/>
              </w:rPr>
              <w:t>TOP</w:t>
            </w:r>
          </w:p>
        </w:tc>
        <w:tc>
          <w:tcPr>
            <w:tcW w:type="dxa" w:w="6092"/>
            <w:tcBorders>
              <w:top w:val="nil"/>
              <w:left w:val="single" w:color="000000" w:sz="4" w:space="0" w:shadow="0" w:frame="0"/>
              <w:bottom w:val="single" w:color="000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de-DE"/>
              </w:rPr>
              <w:t>Agenda</w:t>
            </w:r>
          </w:p>
        </w:tc>
      </w:tr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296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1</w:t>
            </w:r>
          </w:p>
        </w:tc>
        <w:tc>
          <w:tcPr>
            <w:tcW w:type="dxa" w:w="609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Formalia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2964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2</w:t>
            </w:r>
          </w:p>
        </w:tc>
        <w:tc>
          <w:tcPr>
            <w:tcW w:type="dxa" w:w="60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Berichte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2964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3</w:t>
            </w:r>
          </w:p>
        </w:tc>
        <w:tc>
          <w:tcPr>
            <w:tcW w:type="dxa" w:w="60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0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Winterball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2964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4</w:t>
            </w:r>
          </w:p>
        </w:tc>
        <w:tc>
          <w:tcPr>
            <w:tcW w:type="dxa" w:w="60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0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SAP-Kurs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2964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 xml:space="preserve">5 </w:t>
            </w:r>
          </w:p>
        </w:tc>
        <w:tc>
          <w:tcPr>
            <w:tcW w:type="dxa" w:w="60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0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Ersti-Fr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ü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hst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ü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ck, Abrechnung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2964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0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6</w:t>
            </w:r>
          </w:p>
        </w:tc>
        <w:tc>
          <w:tcPr>
            <w:tcW w:type="dxa" w:w="60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0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Informationsveranstaltung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2964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0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7</w:t>
            </w:r>
          </w:p>
        </w:tc>
        <w:tc>
          <w:tcPr>
            <w:tcW w:type="dxa" w:w="60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0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Sonstiges</w:t>
            </w:r>
          </w:p>
        </w:tc>
      </w:tr>
    </w:tbl>
    <w:p>
      <w:pPr>
        <w:pStyle w:val="Normal.0"/>
        <w:widowControl w:val="0"/>
        <w:spacing w:line="240" w:lineRule="auto"/>
        <w:ind w:left="11" w:hanging="11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</w:pPr>
    </w:p>
    <w:tbl>
      <w:tblPr>
        <w:tblW w:w="90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695"/>
        <w:gridCol w:w="714"/>
        <w:gridCol w:w="5422"/>
        <w:gridCol w:w="1429"/>
        <w:gridCol w:w="802"/>
      </w:tblGrid>
      <w:tr>
        <w:tblPrEx>
          <w:shd w:val="clear" w:color="auto" w:fill="d0ddef"/>
        </w:tblPrEx>
        <w:trPr>
          <w:trHeight w:val="526" w:hRule="atLeast"/>
        </w:trPr>
        <w:tc>
          <w:tcPr>
            <w:tcW w:type="dxa" w:w="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de-DE"/>
              </w:rPr>
              <w:t>TOP</w:t>
            </w:r>
          </w:p>
        </w:tc>
        <w:tc>
          <w:tcPr>
            <w:tcW w:type="dxa" w:w="7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de-DE"/>
              </w:rPr>
              <w:t>Art</w:t>
            </w:r>
          </w:p>
        </w:tc>
        <w:tc>
          <w:tcPr>
            <w:tcW w:type="dxa" w:w="5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de-DE"/>
              </w:rPr>
              <w:t>Inhalt</w:t>
            </w:r>
          </w:p>
        </w:tc>
        <w:tc>
          <w:tcPr>
            <w:tcW w:type="dxa" w:w="1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de-DE"/>
              </w:rPr>
              <w:t>Vortragender</w:t>
            </w:r>
          </w:p>
        </w:tc>
        <w:tc>
          <w:tcPr>
            <w:tcW w:type="dxa" w:w="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de-DE"/>
              </w:rPr>
              <w:t>Frist</w:t>
            </w:r>
          </w:p>
        </w:tc>
      </w:tr>
      <w:tr>
        <w:tblPrEx>
          <w:shd w:val="clear" w:color="auto" w:fill="d0ddef"/>
        </w:tblPrEx>
        <w:trPr>
          <w:trHeight w:val="490" w:hRule="atLeast"/>
        </w:trPr>
        <w:tc>
          <w:tcPr>
            <w:tcW w:type="dxa" w:w="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de-DE"/>
              </w:rPr>
              <w:t>1</w:t>
            </w:r>
          </w:p>
        </w:tc>
        <w:tc>
          <w:tcPr>
            <w:tcW w:type="dxa" w:w="7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0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</w:t>
            </w:r>
          </w:p>
        </w:tc>
        <w:tc>
          <w:tcPr>
            <w:tcW w:type="dxa" w:w="5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Das Protokoll vom 1.11.17 wird Einstimmig angenommen.</w:t>
            </w:r>
          </w:p>
        </w:tc>
        <w:tc>
          <w:tcPr>
            <w:tcW w:type="dxa" w:w="1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0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Lorina,Alle</w:t>
            </w:r>
          </w:p>
        </w:tc>
        <w:tc>
          <w:tcPr>
            <w:tcW w:type="dxa" w:w="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de-DE"/>
              </w:rPr>
              <w:t>2</w:t>
            </w:r>
          </w:p>
        </w:tc>
        <w:tc>
          <w:tcPr>
            <w:tcW w:type="dxa" w:w="7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0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5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Es gibt keine neuen Berichte.</w:t>
            </w:r>
          </w:p>
        </w:tc>
        <w:tc>
          <w:tcPr>
            <w:tcW w:type="dxa" w:w="1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0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Alle</w:t>
            </w:r>
          </w:p>
        </w:tc>
        <w:tc>
          <w:tcPr>
            <w:tcW w:type="dxa" w:w="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134" w:hRule="atLeast"/>
        </w:trPr>
        <w:tc>
          <w:tcPr>
            <w:tcW w:type="dxa" w:w="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de-DE"/>
              </w:rPr>
              <w:t>3</w:t>
            </w:r>
          </w:p>
        </w:tc>
        <w:tc>
          <w:tcPr>
            <w:tcW w:type="dxa" w:w="7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0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I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0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0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</w:tc>
        <w:tc>
          <w:tcPr>
            <w:tcW w:type="dxa" w:w="5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0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Lorina erstellt einen Flyerplan, um Werbung in der Mensa zu machen. Es werden einige Termine aufgeteilt und die Verbleibenden werden vom FSR Jura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ü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bernommen.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0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Jeder FSR bekommt 80 Karten zum freien Verkauf. Der Verkauf des FSR-WiWi findet am kommenden Montag um 15 Uhr statt.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0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F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ü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 die Tombola wird eine Liste f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ü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r die in Frage kommenden Sponsoren erstellt, um angemessene Preise zu finden. </w:t>
            </w:r>
          </w:p>
        </w:tc>
        <w:tc>
          <w:tcPr>
            <w:tcW w:type="dxa" w:w="1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0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Alle</w:t>
            </w:r>
          </w:p>
        </w:tc>
        <w:tc>
          <w:tcPr>
            <w:tcW w:type="dxa" w:w="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582" w:hRule="atLeast"/>
        </w:trPr>
        <w:tc>
          <w:tcPr>
            <w:tcW w:type="dxa" w:w="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de-DE"/>
              </w:rPr>
              <w:t>4</w:t>
            </w:r>
          </w:p>
        </w:tc>
        <w:tc>
          <w:tcPr>
            <w:tcW w:type="dxa" w:w="7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0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I</w:t>
            </w:r>
          </w:p>
        </w:tc>
        <w:tc>
          <w:tcPr>
            <w:tcW w:type="dxa" w:w="5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0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Alle Kursteilnehmer sind Informiert. Die Schulungsunterlagen werden bereits am Donnerstag im Rechenzentrum abgegeben.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0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Es haben alle Kursteilnehmer bezahlt und einer sauberen Durchf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ü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hrung aus der Sicht des FSRs steht nichts mehr im Wege.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0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Aufgrund der hohen Nachfrage wird es vermutlich im Dezember noch einen SAP-Kurs geben.</w:t>
            </w:r>
          </w:p>
        </w:tc>
        <w:tc>
          <w:tcPr>
            <w:tcW w:type="dxa" w:w="1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0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Jonas</w:t>
            </w:r>
          </w:p>
        </w:tc>
        <w:tc>
          <w:tcPr>
            <w:tcW w:type="dxa" w:w="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802" w:hRule="atLeast"/>
        </w:trPr>
        <w:tc>
          <w:tcPr>
            <w:tcW w:type="dxa" w:w="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de-DE"/>
              </w:rPr>
              <w:t>5</w:t>
            </w:r>
          </w:p>
        </w:tc>
        <w:tc>
          <w:tcPr>
            <w:tcW w:type="dxa" w:w="7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0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I</w:t>
            </w:r>
          </w:p>
        </w:tc>
        <w:tc>
          <w:tcPr>
            <w:tcW w:type="dxa" w:w="5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0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Aufgrund des Mehraufwands und die zu Verf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ü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gung Stellung des Autos von Lorina einigt sich der FSR einstimmig f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ü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 eine Pauschale von 20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€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f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ü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 Lorina.</w:t>
            </w:r>
          </w:p>
        </w:tc>
        <w:tc>
          <w:tcPr>
            <w:tcW w:type="dxa" w:w="1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0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Alle</w:t>
            </w:r>
          </w:p>
        </w:tc>
        <w:tc>
          <w:tcPr>
            <w:tcW w:type="dxa" w:w="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26" w:hRule="atLeast"/>
        </w:trPr>
        <w:tc>
          <w:tcPr>
            <w:tcW w:type="dxa" w:w="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0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6</w:t>
            </w:r>
          </w:p>
        </w:tc>
        <w:tc>
          <w:tcPr>
            <w:tcW w:type="dxa" w:w="7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0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I</w:t>
            </w:r>
          </w:p>
        </w:tc>
        <w:tc>
          <w:tcPr>
            <w:tcW w:type="dxa" w:w="5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0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Bisher hat sich f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ü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 die Infoveranstaltung Prof.Dr. Pechtl und Prof.Dr. Kloyer angemeldet.</w:t>
            </w:r>
          </w:p>
        </w:tc>
        <w:tc>
          <w:tcPr>
            <w:tcW w:type="dxa" w:w="1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0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Alle</w:t>
            </w:r>
          </w:p>
        </w:tc>
        <w:tc>
          <w:tcPr>
            <w:tcW w:type="dxa" w:w="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0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7</w:t>
            </w:r>
          </w:p>
        </w:tc>
        <w:tc>
          <w:tcPr>
            <w:tcW w:type="dxa" w:w="7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0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I</w:t>
            </w:r>
          </w:p>
        </w:tc>
        <w:tc>
          <w:tcPr>
            <w:tcW w:type="dxa" w:w="5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0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Die Sitzung wird um 13:56 Uhr beendet.</w:t>
      </w: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</w:pPr>
      <w:r>
        <w:rPr>
          <w:rFonts w:ascii="Calibri" w:cs="Calibri" w:hAnsi="Calibri" w:eastAsia="Calibri"/>
          <w:b w:val="1"/>
          <w:bCs w:val="1"/>
          <w:rtl w:val="0"/>
          <w:lang w:val="de-DE"/>
        </w:rPr>
        <w:t xml:space="preserve">       </w:t>
      </w:r>
    </w:p>
    <w:sectPr>
      <w:headerReference w:type="default" r:id="rId4"/>
      <w:footerReference w:type="default" r:id="rId5"/>
      <w:pgSz w:w="11900" w:h="16840" w:orient="portrait"/>
      <w:pgMar w:top="1417" w:right="1417" w:bottom="993" w:left="141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